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val="0"/>
        <w:kinsoku/>
        <w:wordWrap/>
        <w:overflowPunct/>
        <w:topLinePunct w:val="0"/>
        <w:autoSpaceDE/>
        <w:autoSpaceDN/>
        <w:bidi w:val="0"/>
        <w:adjustRightInd/>
        <w:snapToGrid/>
        <w:spacing w:beforeAutospacing="0" w:after="0" w:afterLines="0" w:afterAutospacing="0" w:line="580" w:lineRule="exact"/>
        <w:ind w:left="0" w:leftChars="0" w:firstLine="0" w:firstLineChars="0"/>
        <w:jc w:val="both"/>
        <w:textAlignment w:val="auto"/>
        <w:outlineLvl w:val="0"/>
        <w:rPr>
          <w:rFonts w:hint="default" w:ascii="Times New Roman" w:hAnsi="Times New Roman" w:eastAsia="黑体" w:cs="Times New Roman"/>
          <w:b/>
          <w:bCs w:val="0"/>
          <w:color w:val="auto"/>
          <w:kern w:val="0"/>
          <w:sz w:val="32"/>
          <w:szCs w:val="32"/>
          <w:lang w:val="en-US" w:eastAsia="zh-CN" w:bidi="ar"/>
        </w:rPr>
      </w:pPr>
      <w:r>
        <w:rPr>
          <w:rFonts w:hint="default" w:ascii="Times New Roman" w:hAnsi="Times New Roman" w:eastAsia="黑体" w:cs="Times New Roman"/>
          <w:b/>
          <w:bCs w:val="0"/>
          <w:color w:val="auto"/>
          <w:kern w:val="0"/>
          <w:sz w:val="32"/>
          <w:szCs w:val="32"/>
          <w:highlight w:val="none"/>
          <w:lang w:val="en-US" w:eastAsia="zh-CN" w:bidi="ar"/>
        </w:rPr>
        <w:t>附件</w:t>
      </w:r>
      <w:r>
        <w:rPr>
          <w:rFonts w:hint="default" w:ascii="Times New Roman" w:hAnsi="Times New Roman" w:eastAsia="黑体" w:cs="Times New Roman"/>
          <w:b/>
          <w:bCs w:val="0"/>
          <w:color w:val="auto"/>
          <w:kern w:val="0"/>
          <w:sz w:val="32"/>
          <w:szCs w:val="32"/>
          <w:lang w:val="en-US" w:eastAsia="zh-CN" w:bidi="ar"/>
        </w:rPr>
        <w:t>1</w:t>
      </w:r>
    </w:p>
    <w:p>
      <w:pPr>
        <w:pStyle w:val="4"/>
        <w:keepNext w:val="0"/>
        <w:keepLines w:val="0"/>
        <w:pageBreakBefore w:val="0"/>
        <w:widowControl w:val="0"/>
        <w:kinsoku/>
        <w:wordWrap/>
        <w:overflowPunct/>
        <w:topLinePunct w:val="0"/>
        <w:autoSpaceDE/>
        <w:autoSpaceDN/>
        <w:bidi w:val="0"/>
        <w:adjustRightInd/>
        <w:snapToGrid/>
        <w:spacing w:beforeAutospacing="0" w:after="0" w:afterLines="0" w:afterAutospacing="0" w:line="580" w:lineRule="exact"/>
        <w:ind w:left="0" w:leftChars="0" w:firstLine="0" w:firstLineChars="0"/>
        <w:jc w:val="center"/>
        <w:textAlignment w:val="auto"/>
        <w:outlineLvl w:val="0"/>
        <w:rPr>
          <w:rFonts w:hint="default" w:ascii="Times New Roman" w:hAnsi="Times New Roman" w:cs="Times New Roman" w:eastAsiaTheme="majorEastAsia"/>
          <w:b/>
          <w:bCs/>
          <w:color w:val="auto"/>
          <w:kern w:val="0"/>
          <w:sz w:val="44"/>
          <w:szCs w:val="44"/>
          <w:lang w:val="en-US" w:eastAsia="zh-CN" w:bidi="ar"/>
        </w:rPr>
      </w:pPr>
      <w:bookmarkStart w:id="0" w:name="_GoBack"/>
      <w:r>
        <w:rPr>
          <w:rFonts w:hint="eastAsia" w:ascii="Times New Roman" w:hAnsi="Times New Roman" w:cs="Times New Roman" w:eastAsiaTheme="majorEastAsia"/>
          <w:b/>
          <w:bCs/>
          <w:color w:val="auto"/>
          <w:kern w:val="0"/>
          <w:sz w:val="44"/>
          <w:szCs w:val="44"/>
          <w:lang w:val="en-US" w:eastAsia="zh-CN" w:bidi="ar"/>
        </w:rPr>
        <w:t>2023年度</w:t>
      </w:r>
      <w:r>
        <w:rPr>
          <w:rFonts w:hint="default" w:ascii="Times New Roman" w:hAnsi="Times New Roman" w:cs="Times New Roman" w:eastAsiaTheme="majorEastAsia"/>
          <w:b/>
          <w:bCs/>
          <w:color w:val="auto"/>
          <w:kern w:val="2"/>
          <w:sz w:val="44"/>
          <w:szCs w:val="44"/>
          <w:highlight w:val="none"/>
          <w:lang w:val="en-US" w:eastAsia="zh-CN" w:bidi="ar"/>
        </w:rPr>
        <w:t>“揭榜挂帅”企业重大技术需求</w:t>
      </w:r>
      <w:r>
        <w:rPr>
          <w:rFonts w:hint="default" w:ascii="Times New Roman" w:hAnsi="Times New Roman" w:cs="Times New Roman" w:eastAsiaTheme="majorEastAsia"/>
          <w:b/>
          <w:bCs/>
          <w:color w:val="auto"/>
          <w:kern w:val="0"/>
          <w:sz w:val="44"/>
          <w:szCs w:val="44"/>
          <w:lang w:val="en-US" w:eastAsia="zh-CN" w:bidi="ar"/>
        </w:rPr>
        <w:t>榜单汇总表</w:t>
      </w:r>
      <w:bookmarkEnd w:id="0"/>
    </w:p>
    <w:p>
      <w:pPr>
        <w:jc w:val="right"/>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b/>
          <w:bCs/>
          <w:color w:val="auto"/>
          <w:kern w:val="0"/>
          <w:sz w:val="28"/>
          <w:szCs w:val="28"/>
          <w:highlight w:val="none"/>
          <w:shd w:val="clear" w:color="auto" w:fill="auto"/>
          <w:lang w:val="en-US" w:eastAsia="zh-CN" w:bidi="ar"/>
        </w:rPr>
        <w:t>单位：万元</w:t>
      </w:r>
    </w:p>
    <w:tbl>
      <w:tblPr>
        <w:tblStyle w:val="7"/>
        <w:tblW w:w="1396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96"/>
        <w:gridCol w:w="1725"/>
        <w:gridCol w:w="3995"/>
        <w:gridCol w:w="2361"/>
        <w:gridCol w:w="2058"/>
        <w:gridCol w:w="27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blHeader/>
          <w:jc w:val="center"/>
        </w:trPr>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仿宋_GB2312" w:hAnsi="宋体" w:eastAsia="仿宋_GB2312" w:cs="仿宋_GB2312"/>
                <w:b/>
                <w:i w:val="0"/>
                <w:color w:val="000000"/>
                <w:kern w:val="0"/>
                <w:sz w:val="28"/>
                <w:szCs w:val="28"/>
                <w:u w:val="none"/>
                <w:lang w:val="en-US" w:eastAsia="zh-CN" w:bidi="ar"/>
              </w:rPr>
              <w:t>序号</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仿宋_GB2312" w:hAnsi="宋体" w:eastAsia="仿宋_GB2312" w:cs="仿宋_GB2312"/>
                <w:b/>
                <w:i w:val="0"/>
                <w:color w:val="000000"/>
                <w:kern w:val="0"/>
                <w:sz w:val="28"/>
                <w:szCs w:val="28"/>
                <w:u w:val="none"/>
                <w:lang w:val="en-US" w:eastAsia="zh-CN" w:bidi="ar"/>
              </w:rPr>
              <w:t>行业领域或产业链</w:t>
            </w:r>
          </w:p>
        </w:tc>
        <w:tc>
          <w:tcPr>
            <w:tcW w:w="3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仿宋_GB2312" w:hAnsi="宋体" w:eastAsia="仿宋_GB2312" w:cs="仿宋_GB2312"/>
                <w:b/>
                <w:i w:val="0"/>
                <w:color w:val="000000"/>
                <w:kern w:val="0"/>
                <w:sz w:val="28"/>
                <w:szCs w:val="28"/>
                <w:u w:val="none"/>
                <w:lang w:val="en-US" w:eastAsia="zh-CN" w:bidi="ar"/>
              </w:rPr>
              <w:t>重大技术需求（难题）题目</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仿宋_GB2312" w:hAnsi="宋体" w:eastAsia="仿宋_GB2312" w:cs="仿宋_GB2312"/>
                <w:b/>
                <w:i w:val="0"/>
                <w:color w:val="000000"/>
                <w:kern w:val="0"/>
                <w:sz w:val="28"/>
                <w:szCs w:val="28"/>
                <w:u w:val="none"/>
                <w:lang w:val="en-US" w:eastAsia="zh-CN" w:bidi="ar"/>
              </w:rPr>
              <w:t>技术需求单位</w:t>
            </w:r>
          </w:p>
        </w:tc>
        <w:tc>
          <w:tcPr>
            <w:tcW w:w="20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auto"/>
                <w:kern w:val="0"/>
                <w:sz w:val="28"/>
                <w:szCs w:val="28"/>
                <w:u w:val="none"/>
                <w:lang w:val="en-US" w:eastAsia="zh-CN" w:bidi="ar"/>
              </w:rPr>
            </w:pPr>
            <w:r>
              <w:rPr>
                <w:rFonts w:hint="eastAsia" w:ascii="仿宋_GB2312" w:hAnsi="宋体" w:eastAsia="仿宋_GB2312" w:cs="仿宋_GB2312"/>
                <w:b/>
                <w:i w:val="0"/>
                <w:color w:val="000000"/>
                <w:kern w:val="0"/>
                <w:sz w:val="28"/>
                <w:szCs w:val="28"/>
                <w:u w:val="none"/>
                <w:lang w:val="en-US" w:eastAsia="zh-CN" w:bidi="ar"/>
              </w:rPr>
              <w:t>为该需求提供研发资金投入总预算</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b/>
                <w:i w:val="0"/>
                <w:color w:val="auto"/>
                <w:kern w:val="0"/>
                <w:sz w:val="28"/>
                <w:szCs w:val="28"/>
                <w:u w:val="none"/>
                <w:lang w:val="en-US" w:eastAsia="zh-CN" w:bidi="ar"/>
              </w:rPr>
            </w:pPr>
            <w:r>
              <w:rPr>
                <w:rFonts w:hint="eastAsia" w:ascii="仿宋_GB2312" w:hAnsi="宋体" w:eastAsia="仿宋_GB2312" w:cs="仿宋_GB2312"/>
                <w:b/>
                <w:i w:val="0"/>
                <w:color w:val="000000"/>
                <w:kern w:val="0"/>
                <w:sz w:val="28"/>
                <w:szCs w:val="28"/>
                <w:u w:val="none"/>
                <w:lang w:val="en-US" w:eastAsia="zh-CN" w:bidi="ar"/>
              </w:rPr>
              <w:t>愿意支付给揭榜单位的研发资金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1</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先进制造与装备</w:t>
            </w:r>
          </w:p>
        </w:tc>
        <w:tc>
          <w:tcPr>
            <w:tcW w:w="3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长臂架隧道施工装备智能精密作业关键技术</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江西鑫通机械制造有限公司</w:t>
            </w:r>
          </w:p>
        </w:tc>
        <w:tc>
          <w:tcPr>
            <w:tcW w:w="20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0000FF"/>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2000</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0000FF"/>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2</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先进制造与装备</w:t>
            </w:r>
          </w:p>
        </w:tc>
        <w:tc>
          <w:tcPr>
            <w:tcW w:w="3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基于热丝CVD的吉瓦级N型太阳电池制造核心装备及工艺开发</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新余赛维能源科技有限公司</w:t>
            </w:r>
          </w:p>
        </w:tc>
        <w:tc>
          <w:tcPr>
            <w:tcW w:w="20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0000FF"/>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2000</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0000FF"/>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3</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先进制造与装备</w:t>
            </w:r>
          </w:p>
        </w:tc>
        <w:tc>
          <w:tcPr>
            <w:tcW w:w="3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超特高压装备用低成本陶瓷内绝缘部件的研发及批量化制备</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中材江西电瓷电气有限公司</w:t>
            </w:r>
          </w:p>
        </w:tc>
        <w:tc>
          <w:tcPr>
            <w:tcW w:w="20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0000FF"/>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2610</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0000FF"/>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4</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先进制造与装备</w:t>
            </w:r>
          </w:p>
        </w:tc>
        <w:tc>
          <w:tcPr>
            <w:tcW w:w="3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大型粉料库智能装备关键技术研究与示范应用</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国家电投集团江西中业兴达电力实业有限公司</w:t>
            </w:r>
          </w:p>
        </w:tc>
        <w:tc>
          <w:tcPr>
            <w:tcW w:w="20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0000FF"/>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2500</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0000FF"/>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5</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新一代信息技术</w:t>
            </w:r>
          </w:p>
        </w:tc>
        <w:tc>
          <w:tcPr>
            <w:tcW w:w="3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超高光效氮化镓LED外延材料与芯片制备关键技术攻关</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江西兆驰半导体有限公司</w:t>
            </w:r>
          </w:p>
        </w:tc>
        <w:tc>
          <w:tcPr>
            <w:tcW w:w="20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3000</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6</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新一代信息技术</w:t>
            </w:r>
          </w:p>
        </w:tc>
        <w:tc>
          <w:tcPr>
            <w:tcW w:w="3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面向5G/6G通信的光电融合技术及光子芯片研究</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中赣通信（集团）有公司</w:t>
            </w:r>
          </w:p>
        </w:tc>
        <w:tc>
          <w:tcPr>
            <w:tcW w:w="20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4500</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7</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新一代信息技术</w:t>
            </w:r>
          </w:p>
        </w:tc>
        <w:tc>
          <w:tcPr>
            <w:tcW w:w="3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Mini LED红外发射材料及工艺研究</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江西沃格光电股份有限公司</w:t>
            </w:r>
          </w:p>
        </w:tc>
        <w:tc>
          <w:tcPr>
            <w:tcW w:w="20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500</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8</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新材料</w:t>
            </w:r>
          </w:p>
        </w:tc>
        <w:tc>
          <w:tcPr>
            <w:tcW w:w="3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用于汽车尾气三效催化净化的新型铈锆固溶体材料</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江西零真生态环境集团有限公司</w:t>
            </w:r>
          </w:p>
        </w:tc>
        <w:tc>
          <w:tcPr>
            <w:tcW w:w="20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0000FF"/>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3000</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0000FF"/>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9</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新材料</w:t>
            </w:r>
          </w:p>
        </w:tc>
        <w:tc>
          <w:tcPr>
            <w:tcW w:w="3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万吨级低浓度二氧化碳制甲醇示范项目</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江西蓝星星火有机硅有限公司</w:t>
            </w:r>
          </w:p>
        </w:tc>
        <w:tc>
          <w:tcPr>
            <w:tcW w:w="20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1000</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10</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新材料</w:t>
            </w:r>
          </w:p>
        </w:tc>
        <w:tc>
          <w:tcPr>
            <w:tcW w:w="3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高服役性能汽车高压线束用铜合金导体及绞线制备技术</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江西易藤电气有限公司</w:t>
            </w:r>
          </w:p>
        </w:tc>
        <w:tc>
          <w:tcPr>
            <w:tcW w:w="20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1500</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11</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新材料</w:t>
            </w:r>
          </w:p>
        </w:tc>
        <w:tc>
          <w:tcPr>
            <w:tcW w:w="3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硬质合金数控刀具生产用物理气相沉积涂层装备及技术</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赣州澳克泰工具技术有限公司</w:t>
            </w:r>
          </w:p>
        </w:tc>
        <w:tc>
          <w:tcPr>
            <w:tcW w:w="20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2000</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12</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新材料</w:t>
            </w:r>
          </w:p>
        </w:tc>
        <w:tc>
          <w:tcPr>
            <w:tcW w:w="3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高性能微波吸收材料的研究攻关及产业化</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江西悦安新材料股份有限公司</w:t>
            </w:r>
          </w:p>
        </w:tc>
        <w:tc>
          <w:tcPr>
            <w:tcW w:w="20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2700</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550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13</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新能源</w:t>
            </w:r>
          </w:p>
        </w:tc>
        <w:tc>
          <w:tcPr>
            <w:tcW w:w="3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新型多元储能智慧融合关键技术研究及示范</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国家电力投资集团江西电力有限公司</w:t>
            </w:r>
          </w:p>
        </w:tc>
        <w:tc>
          <w:tcPr>
            <w:tcW w:w="20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0000FF"/>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3000</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0000FF"/>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14</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新能源</w:t>
            </w:r>
          </w:p>
        </w:tc>
        <w:tc>
          <w:tcPr>
            <w:tcW w:w="3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梯次电池储能关键技术研发</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江西乐电易联科技有限公司</w:t>
            </w:r>
          </w:p>
        </w:tc>
        <w:tc>
          <w:tcPr>
            <w:tcW w:w="20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2000</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15</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新能源</w:t>
            </w:r>
          </w:p>
        </w:tc>
        <w:tc>
          <w:tcPr>
            <w:tcW w:w="3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锂云母浸出渣中铷铯钾钠分离与回收技术</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江西永兴特钢新能源科技有限公司</w:t>
            </w:r>
          </w:p>
        </w:tc>
        <w:tc>
          <w:tcPr>
            <w:tcW w:w="20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1200</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240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16</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新能源</w:t>
            </w:r>
          </w:p>
        </w:tc>
        <w:tc>
          <w:tcPr>
            <w:tcW w:w="3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104Ah高比能量兼快速充电功能锂离子电池系统开发应用项目</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宜春国轩电池有限公司</w:t>
            </w:r>
          </w:p>
        </w:tc>
        <w:tc>
          <w:tcPr>
            <w:tcW w:w="20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2500</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17</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航空</w:t>
            </w:r>
          </w:p>
        </w:tc>
        <w:tc>
          <w:tcPr>
            <w:tcW w:w="3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绿色低碳油酸基表面活性剂的创制及其在航空器维护保养中专用化学品的配伍研究和产业化</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江西瑞思博新材料有限公司</w:t>
            </w:r>
          </w:p>
        </w:tc>
        <w:tc>
          <w:tcPr>
            <w:tcW w:w="20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3000</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18</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现代农业/种植养殖</w:t>
            </w:r>
          </w:p>
        </w:tc>
        <w:tc>
          <w:tcPr>
            <w:tcW w:w="3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骨碎补规范化繁育及种植关键技术研究</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江西省鑫隆农业发展有限公司</w:t>
            </w:r>
          </w:p>
        </w:tc>
        <w:tc>
          <w:tcPr>
            <w:tcW w:w="20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0000FF"/>
                <w:spacing w:val="0"/>
                <w:kern w:val="0"/>
                <w:sz w:val="28"/>
                <w:szCs w:val="28"/>
                <w:highlight w:val="none"/>
                <w:shd w:val="clear" w:color="auto" w:fill="FFFFFF"/>
                <w:lang w:val="en-US" w:eastAsia="zh-CN" w:bidi="ar"/>
              </w:rPr>
            </w:pPr>
            <w: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500</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0000FF"/>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19</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现代农业/种植养殖</w:t>
            </w:r>
          </w:p>
        </w:tc>
        <w:tc>
          <w:tcPr>
            <w:tcW w:w="3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鄱阳湖龟鳖产业关键技术集成示范与推广</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江西添鹏生态农业有限公司</w:t>
            </w:r>
          </w:p>
        </w:tc>
        <w:tc>
          <w:tcPr>
            <w:tcW w:w="20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2500</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20</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绿色食品/农产品加工</w:t>
            </w:r>
          </w:p>
        </w:tc>
        <w:tc>
          <w:tcPr>
            <w:tcW w:w="3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甜味萜类皂苷的生物合成及同系皂苷转化</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江西海富生物工程有限公司</w:t>
            </w:r>
          </w:p>
        </w:tc>
        <w:tc>
          <w:tcPr>
            <w:tcW w:w="20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1200</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 w:eastAsia="zh-CN" w:bidi="ar"/>
              </w:rPr>
              <w:t>240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21</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生物医药</w:t>
            </w:r>
          </w:p>
        </w:tc>
        <w:tc>
          <w:tcPr>
            <w:tcW w:w="3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维生素K3绿色合成制造关键技术与应用研究</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江西兄弟医药有限公司</w:t>
            </w:r>
          </w:p>
        </w:tc>
        <w:tc>
          <w:tcPr>
            <w:tcW w:w="20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0000FF"/>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3000</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0000FF"/>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8" w:hRule="atLeast"/>
          <w:jc w:val="center"/>
        </w:trPr>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22</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生物医药</w:t>
            </w:r>
          </w:p>
        </w:tc>
        <w:tc>
          <w:tcPr>
            <w:tcW w:w="3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环硅酸锆钠散原料药加制剂项目的研究开发</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江西海尔思药业股份有限公司</w:t>
            </w:r>
          </w:p>
        </w:tc>
        <w:tc>
          <w:tcPr>
            <w:tcW w:w="20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0000FF"/>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2800</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0000FF"/>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23</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生物医药</w:t>
            </w:r>
          </w:p>
        </w:tc>
        <w:tc>
          <w:tcPr>
            <w:tcW w:w="3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L-硒-甲基硒代半胱氨酸制备关键技术提升及其应用</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江西川奇药业有限公司</w:t>
            </w:r>
          </w:p>
        </w:tc>
        <w:tc>
          <w:tcPr>
            <w:tcW w:w="20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0000FF"/>
                <w:spacing w:val="0"/>
                <w:kern w:val="0"/>
                <w:sz w:val="28"/>
                <w:szCs w:val="28"/>
                <w:highlight w:val="yellow"/>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1000</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0000FF"/>
                <w:spacing w:val="0"/>
                <w:kern w:val="0"/>
                <w:sz w:val="28"/>
                <w:szCs w:val="28"/>
                <w:highlight w:val="yellow"/>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3" w:hRule="atLeast"/>
          <w:jc w:val="center"/>
        </w:trPr>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24</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中医药</w:t>
            </w:r>
          </w:p>
        </w:tc>
        <w:tc>
          <w:tcPr>
            <w:tcW w:w="3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山香圆优质种质挖掘和高效栽培技术研究及产业化推广</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南昌百济制药有限公司</w:t>
            </w:r>
          </w:p>
        </w:tc>
        <w:tc>
          <w:tcPr>
            <w:tcW w:w="20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500</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1" w:hRule="atLeast"/>
          <w:jc w:val="center"/>
        </w:trPr>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25</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中医药</w:t>
            </w:r>
          </w:p>
        </w:tc>
        <w:tc>
          <w:tcPr>
            <w:tcW w:w="3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“赣产药材”中药配方颗粒质量标准化研究</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江西百神药业股份有限公司</w:t>
            </w:r>
          </w:p>
        </w:tc>
        <w:tc>
          <w:tcPr>
            <w:tcW w:w="20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0000FF"/>
                <w:spacing w:val="0"/>
                <w:kern w:val="0"/>
                <w:sz w:val="28"/>
                <w:szCs w:val="28"/>
                <w:highlight w:val="yellow"/>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1500</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0000FF"/>
                <w:spacing w:val="0"/>
                <w:kern w:val="0"/>
                <w:sz w:val="28"/>
                <w:szCs w:val="28"/>
                <w:highlight w:val="yellow"/>
                <w:shd w:val="clear" w:color="auto" w:fill="FFFFFF"/>
                <w:lang w:val="en"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jc w:val="center"/>
        </w:trPr>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26</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节能环保</w:t>
            </w:r>
          </w:p>
        </w:tc>
        <w:tc>
          <w:tcPr>
            <w:tcW w:w="39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复杂难处理锡基多金属固废高值化综合利用关键技术研究</w:t>
            </w:r>
          </w:p>
        </w:tc>
        <w:tc>
          <w:tcPr>
            <w:tcW w:w="23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江西睿锋环保有限公司</w:t>
            </w:r>
          </w:p>
        </w:tc>
        <w:tc>
          <w:tcPr>
            <w:tcW w:w="20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3000</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pPr>
            <w:r>
              <w:rPr>
                <w:rFonts w:hint="eastAsia" w:ascii="Times New Roman" w:hAnsi="Times New Roman" w:eastAsia="仿宋_GB2312" w:cs="Times New Roman"/>
                <w:b w:val="0"/>
                <w:bCs w:val="0"/>
                <w:i w:val="0"/>
                <w:iCs w:val="0"/>
                <w:caps w:val="0"/>
                <w:color w:val="auto"/>
                <w:spacing w:val="0"/>
                <w:kern w:val="0"/>
                <w:sz w:val="28"/>
                <w:szCs w:val="28"/>
                <w:highlight w:val="none"/>
                <w:shd w:val="clear" w:color="auto" w:fill="FFFFFF"/>
                <w:lang w:val="en-US" w:eastAsia="zh-CN" w:bidi="ar"/>
              </w:rPr>
              <w:t>500</w:t>
            </w:r>
          </w:p>
        </w:tc>
      </w:tr>
    </w:tbl>
    <w:p>
      <w:pPr>
        <w:rPr>
          <w:rFonts w:hint="default" w:ascii="Times New Roman" w:hAnsi="Times New Roman" w:cs="Times New Roman"/>
          <w:color w:val="auto"/>
        </w:rPr>
        <w:sectPr>
          <w:pgSz w:w="16838" w:h="11906" w:orient="landscape"/>
          <w:pgMar w:top="1843" w:right="1559" w:bottom="1843" w:left="1559" w:header="851" w:footer="1587" w:gutter="0"/>
          <w:cols w:space="425" w:num="1"/>
          <w:docGrid w:type="lines" w:linePitch="312" w:charSpace="0"/>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7A"/>
    <w:family w:val="auto"/>
    <w:pitch w:val="default"/>
    <w:sig w:usb0="00000000" w:usb1="00000000"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7DEB4B"/>
    <w:rsid w:val="677DEB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Calibri" w:hAnsi="Calibri"/>
    </w:rPr>
  </w:style>
  <w:style w:type="paragraph" w:styleId="3">
    <w:name w:val="Body Text First Indent"/>
    <w:basedOn w:val="2"/>
    <w:next w:val="2"/>
    <w:unhideWhenUsed/>
    <w:qFormat/>
    <w:uiPriority w:val="99"/>
    <w:pPr>
      <w:widowControl w:val="0"/>
      <w:spacing w:after="120"/>
      <w:ind w:firstLine="420" w:firstLineChars="100"/>
      <w:jc w:val="both"/>
    </w:pPr>
    <w:rPr>
      <w:rFonts w:asciiTheme="minorHAnsi" w:hAnsiTheme="minorHAnsi" w:eastAsiaTheme="minorEastAsia" w:cstheme="minorBidi"/>
      <w:kern w:val="2"/>
      <w:sz w:val="21"/>
      <w:szCs w:val="22"/>
      <w:lang w:val="en-US" w:eastAsia="zh-CN" w:bidi="ar-SA"/>
    </w:rPr>
  </w:style>
  <w:style w:type="paragraph" w:styleId="4">
    <w:name w:val="Body Text Indent"/>
    <w:basedOn w:val="1"/>
    <w:next w:val="5"/>
    <w:qFormat/>
    <w:uiPriority w:val="0"/>
    <w:pPr>
      <w:spacing w:after="120"/>
      <w:ind w:left="420" w:leftChars="200"/>
    </w:pPr>
    <w:rPr>
      <w:rFonts w:ascii="Calibri" w:hAnsi="Calibri" w:eastAsia="宋体" w:cs="Times New Roman"/>
      <w:szCs w:val="22"/>
    </w:rPr>
  </w:style>
  <w:style w:type="paragraph" w:styleId="5">
    <w:name w:val="Body Text First Indent 2"/>
    <w:basedOn w:val="4"/>
    <w:next w:val="3"/>
    <w:qFormat/>
    <w:uiPriority w:val="0"/>
    <w:pPr>
      <w:widowControl w:val="0"/>
      <w:spacing w:after="120"/>
      <w:ind w:left="420" w:leftChars="200" w:firstLine="420"/>
      <w:jc w:val="both"/>
    </w:pPr>
    <w:rPr>
      <w:rFonts w:ascii="Calibri" w:hAnsi="Calibri" w:eastAsia="宋体" w:cs="Times New Roman"/>
      <w:kern w:val="2"/>
      <w:sz w:val="21"/>
      <w:szCs w:val="24"/>
      <w:lang w:val="en-US" w:eastAsia="zh-CN" w:bidi="ar-SA"/>
    </w:rPr>
  </w:style>
  <w:style w:type="paragraph" w:styleId="6">
    <w:name w:val="footer"/>
    <w:basedOn w:val="1"/>
    <w:qFormat/>
    <w:uiPriority w:val="0"/>
    <w:pPr>
      <w:tabs>
        <w:tab w:val="center" w:pos="4153"/>
        <w:tab w:val="right" w:pos="8306"/>
      </w:tabs>
      <w:snapToGrid w:val="0"/>
      <w:jc w:val="left"/>
    </w:pPr>
    <w:rPr>
      <w:sz w:val="18"/>
    </w:r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2023-08-04T11:22:00Z</dcterms:created>
  <dc:creator>test</dc:creator>
  <cp:lastModifiedBy>test</cp:lastModifiedBy>
  <dcterms:modified xsi:type="dcterms:W3CDTF">2023-08-04T11:24:00Z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ies>
</file>